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8CC8C" w14:textId="7DE3B5BB" w:rsidR="00C16603" w:rsidRDefault="00C16603" w:rsidP="00C16603">
      <w:pPr>
        <w:tabs>
          <w:tab w:val="right" w:pos="9638"/>
        </w:tabs>
        <w:rPr>
          <w:rFonts w:ascii="Arial" w:hAnsi="Arial" w:cs="Arial"/>
          <w:b/>
          <w:noProof/>
          <w:sz w:val="24"/>
        </w:rPr>
      </w:pPr>
      <w:bookmarkStart w:id="0" w:name="_GoBack"/>
      <w:r>
        <w:rPr>
          <w:rFonts w:ascii="Arial" w:hAnsi="Arial" w:cs="Arial"/>
          <w:b/>
          <w:noProof/>
          <w:sz w:val="24"/>
        </w:rPr>
        <w:t>SA WG2 Meeting #164</w:t>
      </w:r>
      <w:r>
        <w:rPr>
          <w:rFonts w:ascii="Arial" w:hAnsi="Arial" w:cs="Arial"/>
          <w:b/>
          <w:noProof/>
          <w:sz w:val="24"/>
        </w:rPr>
        <w:tab/>
      </w:r>
      <w:r w:rsidRPr="00501738">
        <w:rPr>
          <w:rFonts w:ascii="Arial" w:hAnsi="Arial" w:cs="Arial"/>
          <w:b/>
          <w:noProof/>
          <w:sz w:val="24"/>
        </w:rPr>
        <w:t>S2-240</w:t>
      </w:r>
      <w:r>
        <w:rPr>
          <w:rFonts w:ascii="Arial" w:hAnsi="Arial" w:cs="Arial"/>
          <w:b/>
          <w:noProof/>
          <w:sz w:val="24"/>
        </w:rPr>
        <w:t>739</w:t>
      </w:r>
      <w:r>
        <w:rPr>
          <w:rFonts w:ascii="Arial" w:hAnsi="Arial" w:cs="Arial"/>
          <w:b/>
          <w:noProof/>
          <w:sz w:val="24"/>
        </w:rPr>
        <w:t>4</w:t>
      </w:r>
    </w:p>
    <w:p w14:paraId="144C1830" w14:textId="77777777" w:rsidR="00C16603" w:rsidRDefault="00C16603" w:rsidP="00C16603">
      <w:pPr>
        <w:tabs>
          <w:tab w:val="right" w:pos="9638"/>
        </w:tabs>
        <w:rPr>
          <w:rFonts w:ascii="Arial" w:hAnsi="Arial" w:cs="Arial"/>
          <w:b/>
          <w:noProof/>
          <w:sz w:val="24"/>
        </w:rPr>
      </w:pPr>
      <w:r>
        <w:rPr>
          <w:rFonts w:ascii="Arial" w:hAnsi="Arial" w:cs="Arial"/>
          <w:b/>
          <w:noProof/>
          <w:sz w:val="24"/>
        </w:rPr>
        <w:t>19 - 23 August, 2024, Maastricht, Netherlands</w:t>
      </w:r>
    </w:p>
    <w:p w14:paraId="4648B0B2" w14:textId="77777777" w:rsidR="00C16603" w:rsidRDefault="00C16603" w:rsidP="00C16603">
      <w:pPr>
        <w:pBdr>
          <w:bottom w:val="single" w:sz="4" w:space="1" w:color="auto"/>
        </w:pBdr>
        <w:tabs>
          <w:tab w:val="right" w:pos="9638"/>
        </w:tabs>
        <w:rPr>
          <w:rFonts w:ascii="Arial" w:hAnsi="Arial" w:cs="Arial"/>
          <w:b/>
          <w:noProof/>
          <w:sz w:val="24"/>
        </w:rPr>
      </w:pPr>
    </w:p>
    <w:bookmarkEnd w:id="0"/>
    <w:p w14:paraId="44366CAC" w14:textId="77777777" w:rsidR="008D5482" w:rsidRDefault="008D5482" w:rsidP="008D5482">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S2-2405868</w:t>
      </w:r>
    </w:p>
    <w:p w14:paraId="0294E222" w14:textId="77777777" w:rsidR="008D5482" w:rsidRDefault="008D5482" w:rsidP="008D5482">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1ABCB41A" w14:textId="76F3D08E" w:rsidR="008D5482" w:rsidRPr="008D5482" w:rsidRDefault="008D5482" w:rsidP="008D5482">
      <w:pPr>
        <w:pStyle w:val="CRCoverPage"/>
        <w:tabs>
          <w:tab w:val="right" w:pos="9638"/>
        </w:tabs>
        <w:spacing w:after="0"/>
        <w:rPr>
          <w:rFonts w:cs="Arial"/>
          <w:b/>
          <w:noProof/>
          <w:sz w:val="24"/>
        </w:rPr>
      </w:pPr>
    </w:p>
    <w:p w14:paraId="0483BC80" w14:textId="77777777" w:rsidR="008D5482" w:rsidRDefault="008D5482" w:rsidP="00874160">
      <w:pPr>
        <w:pStyle w:val="CRCoverPage"/>
        <w:tabs>
          <w:tab w:val="right" w:pos="9639"/>
        </w:tabs>
        <w:spacing w:after="0"/>
        <w:rPr>
          <w:b/>
          <w:noProof/>
          <w:sz w:val="24"/>
        </w:rPr>
      </w:pPr>
    </w:p>
    <w:p w14:paraId="7A9B0225" w14:textId="54560ED4" w:rsidR="00874160" w:rsidRDefault="00874160" w:rsidP="00874160">
      <w:pPr>
        <w:pStyle w:val="CRCoverPage"/>
        <w:tabs>
          <w:tab w:val="right" w:pos="9639"/>
        </w:tabs>
        <w:spacing w:after="0"/>
        <w:rPr>
          <w:b/>
          <w:i/>
          <w:noProof/>
          <w:sz w:val="28"/>
        </w:rPr>
      </w:pPr>
      <w:r>
        <w:rPr>
          <w:b/>
          <w:noProof/>
          <w:sz w:val="24"/>
        </w:rPr>
        <w:t>3GPP TSG-CT WG4 Meeting #122</w:t>
      </w:r>
      <w:r>
        <w:rPr>
          <w:b/>
          <w:i/>
          <w:noProof/>
          <w:sz w:val="28"/>
        </w:rPr>
        <w:tab/>
      </w:r>
      <w:r w:rsidR="0077681E" w:rsidRPr="0077681E">
        <w:rPr>
          <w:b/>
          <w:noProof/>
          <w:sz w:val="24"/>
        </w:rPr>
        <w:t>C4-</w:t>
      </w:r>
      <w:r w:rsidR="005076CA" w:rsidRPr="0077681E">
        <w:rPr>
          <w:b/>
          <w:noProof/>
          <w:sz w:val="24"/>
        </w:rPr>
        <w:t>24</w:t>
      </w:r>
      <w:r w:rsidR="005076CA">
        <w:rPr>
          <w:b/>
          <w:noProof/>
          <w:sz w:val="24"/>
        </w:rPr>
        <w:t>15</w:t>
      </w:r>
      <w:r w:rsidR="002707AF">
        <w:rPr>
          <w:b/>
          <w:noProof/>
          <w:sz w:val="24"/>
        </w:rPr>
        <w:t>47</w:t>
      </w:r>
    </w:p>
    <w:p w14:paraId="27AE4E0A" w14:textId="77777777" w:rsidR="00874160" w:rsidRDefault="00874160" w:rsidP="0087416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777E44" w:rsidR="00463675" w:rsidRPr="000F4E43" w:rsidRDefault="00463675" w:rsidP="000F4E43">
      <w:pPr>
        <w:pStyle w:val="Title"/>
      </w:pPr>
      <w:r w:rsidRPr="000F4E43">
        <w:t>Title:</w:t>
      </w:r>
      <w:r w:rsidRPr="000F4E43">
        <w:tab/>
      </w:r>
      <w:r w:rsidR="006E21DA">
        <w:t xml:space="preserve">LS on </w:t>
      </w:r>
      <w:r w:rsidR="002D26C0">
        <w:t>Clarification on Dual Registration Indication</w:t>
      </w:r>
    </w:p>
    <w:p w14:paraId="65004854" w14:textId="2464A4B8" w:rsidR="00463675" w:rsidRPr="000F4E43" w:rsidRDefault="00463675" w:rsidP="000F4E43">
      <w:pPr>
        <w:pStyle w:val="Title"/>
      </w:pPr>
      <w:r w:rsidRPr="000F4E43">
        <w:t>Response to:</w:t>
      </w:r>
      <w:r w:rsidRPr="000F4E43">
        <w:tab/>
      </w:r>
    </w:p>
    <w:p w14:paraId="56E3B846" w14:textId="7AAD3B66" w:rsidR="00463675" w:rsidRPr="006E21DA" w:rsidRDefault="00463675" w:rsidP="000F4E43">
      <w:pPr>
        <w:pStyle w:val="Title"/>
      </w:pPr>
      <w:r w:rsidRPr="000F4E43">
        <w:t>Release:</w:t>
      </w:r>
      <w:r w:rsidRPr="000F4E43">
        <w:tab/>
      </w:r>
      <w:r w:rsidR="006E21DA" w:rsidRPr="006E21DA">
        <w:t>Rel-18</w:t>
      </w:r>
    </w:p>
    <w:p w14:paraId="792135A2" w14:textId="6A2998E3" w:rsidR="00463675" w:rsidRPr="006E21DA" w:rsidRDefault="00463675" w:rsidP="000F4E43">
      <w:pPr>
        <w:pStyle w:val="Title"/>
      </w:pPr>
      <w:r w:rsidRPr="006E21DA">
        <w:t>Work Item:</w:t>
      </w:r>
      <w:r w:rsidRPr="006E21DA">
        <w:tab/>
      </w:r>
      <w:r w:rsidR="002D26C0">
        <w:t>TEI18, 5GS_Ph1</w:t>
      </w:r>
    </w:p>
    <w:p w14:paraId="0A1390C0" w14:textId="77777777" w:rsidR="00463675" w:rsidRPr="006E21DA" w:rsidRDefault="00463675">
      <w:pPr>
        <w:spacing w:after="60"/>
        <w:ind w:left="1985" w:hanging="1985"/>
        <w:rPr>
          <w:rFonts w:ascii="Arial" w:hAnsi="Arial" w:cs="Arial"/>
          <w:b/>
        </w:rPr>
      </w:pPr>
    </w:p>
    <w:p w14:paraId="2BA4C3D5" w14:textId="4BA21146" w:rsidR="00463675" w:rsidRPr="006E21DA" w:rsidRDefault="00463675" w:rsidP="000F4E43">
      <w:pPr>
        <w:pStyle w:val="Source"/>
      </w:pPr>
      <w:r w:rsidRPr="006E21DA">
        <w:t>Source:</w:t>
      </w:r>
      <w:r w:rsidRPr="006E21DA">
        <w:tab/>
      </w:r>
      <w:r w:rsidR="006E21DA" w:rsidRPr="006E21DA">
        <w:rPr>
          <w:b w:val="0"/>
        </w:rPr>
        <w:t>CT4</w:t>
      </w:r>
    </w:p>
    <w:p w14:paraId="6AF9910D" w14:textId="35269666" w:rsidR="00463675" w:rsidRPr="006E21DA" w:rsidRDefault="00463675" w:rsidP="000F4E43">
      <w:pPr>
        <w:pStyle w:val="Source"/>
      </w:pPr>
      <w:r w:rsidRPr="006E21DA">
        <w:t>To:</w:t>
      </w:r>
      <w:r w:rsidRPr="006E21DA">
        <w:tab/>
      </w:r>
      <w:r w:rsidR="002D26C0">
        <w:rPr>
          <w:b w:val="0"/>
        </w:rPr>
        <w:t>CT1</w:t>
      </w:r>
    </w:p>
    <w:p w14:paraId="033E954A" w14:textId="70D25E89" w:rsidR="00463675" w:rsidRPr="006E21DA" w:rsidRDefault="00463675" w:rsidP="000F4E43">
      <w:pPr>
        <w:pStyle w:val="Source"/>
      </w:pPr>
      <w:r w:rsidRPr="006E21DA">
        <w:t>Cc:</w:t>
      </w:r>
      <w:r w:rsidRPr="006E21DA">
        <w:tab/>
      </w:r>
      <w:r w:rsidR="006E21DA" w:rsidRPr="006E21DA">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D76513" w:rsidR="00463675" w:rsidRPr="000F4E43" w:rsidRDefault="00463675" w:rsidP="000F4E43">
      <w:pPr>
        <w:pStyle w:val="Contact"/>
        <w:tabs>
          <w:tab w:val="clear" w:pos="2268"/>
        </w:tabs>
        <w:rPr>
          <w:bCs/>
        </w:rPr>
      </w:pPr>
      <w:r w:rsidRPr="000F4E43">
        <w:t>Name:</w:t>
      </w:r>
      <w:r w:rsidRPr="000F4E43">
        <w:rPr>
          <w:bCs/>
        </w:rPr>
        <w:tab/>
      </w:r>
      <w:r w:rsidR="002D26C0">
        <w:rPr>
          <w:bCs/>
        </w:rPr>
        <w:t>Zhijun</w:t>
      </w:r>
      <w:r w:rsidR="006E21DA">
        <w:rPr>
          <w:bCs/>
        </w:rPr>
        <w:t xml:space="preserve"> L</w:t>
      </w:r>
      <w:r w:rsidR="002D26C0">
        <w:rPr>
          <w:bCs/>
        </w:rPr>
        <w:t>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94284A7" w:rsidR="00463675" w:rsidRPr="006E21DA" w:rsidRDefault="00463675" w:rsidP="000F4E43">
      <w:pPr>
        <w:pStyle w:val="Contact"/>
        <w:tabs>
          <w:tab w:val="clear" w:pos="2268"/>
        </w:tabs>
        <w:rPr>
          <w:bCs/>
          <w:color w:val="0000FF"/>
          <w:lang w:val="fr-FR"/>
        </w:rPr>
      </w:pPr>
      <w:r w:rsidRPr="006E21DA">
        <w:rPr>
          <w:color w:val="0000FF"/>
          <w:lang w:val="fr-FR"/>
        </w:rPr>
        <w:t xml:space="preserve">E-mail </w:t>
      </w:r>
      <w:proofErr w:type="spellStart"/>
      <w:r w:rsidRPr="006E21DA">
        <w:rPr>
          <w:color w:val="0000FF"/>
          <w:lang w:val="fr-FR"/>
        </w:rPr>
        <w:t>Address</w:t>
      </w:r>
      <w:proofErr w:type="spellEnd"/>
      <w:r w:rsidRPr="006E21DA">
        <w:rPr>
          <w:color w:val="0000FF"/>
          <w:lang w:val="fr-FR"/>
        </w:rPr>
        <w:t>:</w:t>
      </w:r>
      <w:r w:rsidRPr="006E21DA">
        <w:rPr>
          <w:bCs/>
          <w:color w:val="0000FF"/>
          <w:lang w:val="fr-FR"/>
        </w:rPr>
        <w:tab/>
      </w:r>
      <w:r w:rsidR="002D26C0">
        <w:rPr>
          <w:bCs/>
          <w:color w:val="0000FF"/>
          <w:lang w:val="fr-FR"/>
        </w:rPr>
        <w:t>li.zhijun3@zte.com.cn</w:t>
      </w:r>
    </w:p>
    <w:p w14:paraId="486A119D" w14:textId="77777777" w:rsidR="00463675" w:rsidRPr="006E21D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71B48B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61081C" w:rsidR="00463675" w:rsidRPr="006E21DA" w:rsidRDefault="006E21DA">
      <w:pPr>
        <w:rPr>
          <w:rFonts w:ascii="Arial" w:hAnsi="Arial" w:cs="Arial"/>
        </w:rPr>
      </w:pPr>
      <w:r w:rsidRPr="006E21DA">
        <w:rPr>
          <w:rFonts w:ascii="Arial" w:hAnsi="Arial" w:cs="Arial"/>
        </w:rPr>
        <w:t xml:space="preserve">CT4 </w:t>
      </w:r>
      <w:r w:rsidR="00E01F27">
        <w:rPr>
          <w:rFonts w:ascii="Arial" w:hAnsi="Arial" w:cs="Arial"/>
        </w:rPr>
        <w:t xml:space="preserve">has </w:t>
      </w:r>
      <w:r w:rsidR="005C7CC1">
        <w:rPr>
          <w:rFonts w:ascii="Arial" w:hAnsi="Arial" w:cs="Arial"/>
        </w:rPr>
        <w:t>revisit</w:t>
      </w:r>
      <w:r w:rsidR="00E01F27">
        <w:rPr>
          <w:rFonts w:ascii="Arial" w:hAnsi="Arial" w:cs="Arial"/>
        </w:rPr>
        <w:t>ed</w:t>
      </w:r>
      <w:r w:rsidR="005C7CC1">
        <w:rPr>
          <w:rFonts w:ascii="Arial" w:hAnsi="Arial" w:cs="Arial"/>
        </w:rPr>
        <w:t xml:space="preserve"> the specification details of dual registration mode support</w:t>
      </w:r>
      <w:r w:rsidR="00E01F27">
        <w:rPr>
          <w:rFonts w:ascii="Arial" w:hAnsi="Arial" w:cs="Arial"/>
        </w:rPr>
        <w:t xml:space="preserve"> for EPS interworking</w:t>
      </w:r>
      <w:r w:rsidR="005C7CC1">
        <w:rPr>
          <w:rFonts w:ascii="Arial" w:hAnsi="Arial" w:cs="Arial"/>
        </w:rPr>
        <w:t xml:space="preserve">, and </w:t>
      </w:r>
      <w:r w:rsidR="00F00C09">
        <w:rPr>
          <w:rFonts w:ascii="Arial" w:hAnsi="Arial" w:cs="Arial"/>
        </w:rPr>
        <w:t xml:space="preserve">finds some unclarity which needs clarification from CT1 and </w:t>
      </w:r>
      <w:r w:rsidR="00E01F27">
        <w:rPr>
          <w:rFonts w:ascii="Arial" w:hAnsi="Arial" w:cs="Arial"/>
        </w:rPr>
        <w:t xml:space="preserve">possibly from </w:t>
      </w:r>
      <w:r w:rsidR="00F00C09">
        <w:rPr>
          <w:rFonts w:ascii="Arial" w:hAnsi="Arial" w:cs="Arial"/>
        </w:rPr>
        <w:t>SA2</w:t>
      </w:r>
      <w:r w:rsidRPr="006E21DA">
        <w:rPr>
          <w:rFonts w:ascii="Arial" w:hAnsi="Arial" w:cs="Arial"/>
        </w:rPr>
        <w:t>.</w:t>
      </w:r>
    </w:p>
    <w:p w14:paraId="6BCB6545" w14:textId="77777777" w:rsidR="006E21DA" w:rsidRPr="006E21DA" w:rsidRDefault="006E21DA">
      <w:pPr>
        <w:rPr>
          <w:rFonts w:ascii="Arial" w:hAnsi="Arial" w:cs="Arial"/>
        </w:rPr>
      </w:pPr>
    </w:p>
    <w:p w14:paraId="0EBA7F67" w14:textId="1F05626D" w:rsidR="00E20381" w:rsidRDefault="00E20381" w:rsidP="00E20381">
      <w:pPr>
        <w:pStyle w:val="CRCoverPage"/>
        <w:spacing w:after="0"/>
        <w:rPr>
          <w:lang w:eastAsia="zh-CN"/>
        </w:rPr>
      </w:pPr>
      <w:r>
        <w:rPr>
          <w:lang w:eastAsia="zh-CN"/>
        </w:rPr>
        <w:t xml:space="preserve">As </w:t>
      </w:r>
      <w:r w:rsidR="005A0A98">
        <w:rPr>
          <w:lang w:eastAsia="zh-CN"/>
        </w:rPr>
        <w:t>specified in</w:t>
      </w:r>
      <w:r>
        <w:rPr>
          <w:lang w:eastAsia="zh-CN"/>
        </w:rPr>
        <w:t xml:space="preserve"> TS23.501 clause 5.17.2.3.1, the AMF indicates to UDM not cancel the registration of MME (i.e. </w:t>
      </w:r>
      <w:r w:rsidR="005A0A98">
        <w:rPr>
          <w:lang w:eastAsia="zh-CN"/>
        </w:rPr>
        <w:t>corresponding to stage 3 AMF behaviour of setting</w:t>
      </w:r>
      <w:r>
        <w:rPr>
          <w:lang w:eastAsia="zh-CN"/>
        </w:rPr>
        <w:t xml:space="preserve"> the dual registration flag when performing AMF registration to UDM) if it receives UE indication of moving from EPS</w:t>
      </w:r>
      <w:r w:rsidR="005A0A98">
        <w:rPr>
          <w:lang w:eastAsia="zh-CN"/>
        </w:rPr>
        <w:t xml:space="preserve"> in the Initial Registration in 5GC</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ECC5191" w14:textId="77777777" w:rsidTr="00247D55">
        <w:tc>
          <w:tcPr>
            <w:tcW w:w="9605" w:type="dxa"/>
            <w:shd w:val="clear" w:color="auto" w:fill="auto"/>
          </w:tcPr>
          <w:p w14:paraId="0D75C3F4" w14:textId="013C07AE" w:rsidR="005A0A98" w:rsidRDefault="005A0A98" w:rsidP="00247D55">
            <w:pPr>
              <w:pStyle w:val="CRCoverPage"/>
              <w:spacing w:after="0"/>
              <w:rPr>
                <w:lang w:eastAsia="zh-CN"/>
              </w:rPr>
            </w:pPr>
            <w:r>
              <w:rPr>
                <w:lang w:eastAsia="zh-CN"/>
              </w:rPr>
              <w:t>&lt;&lt;TS23.501 clause 5.17.2.3.1&gt;&gt;</w:t>
            </w:r>
          </w:p>
          <w:p w14:paraId="6F977D8C" w14:textId="77777777" w:rsidR="00F878A0" w:rsidRDefault="00F878A0" w:rsidP="00247D55">
            <w:pPr>
              <w:pStyle w:val="CRCoverPage"/>
              <w:spacing w:after="0"/>
              <w:rPr>
                <w:lang w:eastAsia="zh-CN"/>
              </w:rPr>
            </w:pPr>
          </w:p>
          <w:p w14:paraId="79EB1485" w14:textId="77777777" w:rsidR="005A0A98" w:rsidRPr="001B7C50" w:rsidRDefault="005A0A98" w:rsidP="00247D55">
            <w:pPr>
              <w:ind w:left="284"/>
              <w:rPr>
                <w:lang w:eastAsia="zh-CN"/>
              </w:rPr>
            </w:pPr>
            <w:r w:rsidRPr="001B7C50">
              <w:rPr>
                <w:lang w:eastAsia="zh-CN"/>
              </w:rPr>
              <w:t xml:space="preserve">Interworking procedures </w:t>
            </w:r>
            <w:r w:rsidRPr="00247D55">
              <w:rPr>
                <w:highlight w:val="cyan"/>
                <w:lang w:eastAsia="zh-CN"/>
              </w:rPr>
              <w:t>without N26 interface</w:t>
            </w:r>
            <w:r w:rsidRPr="001B7C50">
              <w:rPr>
                <w:lang w:eastAsia="zh-CN"/>
              </w:rPr>
              <w:t xml:space="preserve"> use the following two features:</w:t>
            </w:r>
          </w:p>
          <w:p w14:paraId="4A7F2AF3" w14:textId="77777777" w:rsidR="005A0A98" w:rsidRPr="001B7C50" w:rsidRDefault="005A0A98" w:rsidP="00247D55">
            <w:pPr>
              <w:pStyle w:val="B1"/>
              <w:ind w:left="852"/>
              <w:rPr>
                <w:lang w:eastAsia="zh-CN"/>
              </w:rPr>
            </w:pPr>
            <w:r w:rsidRPr="001B7C50">
              <w:rPr>
                <w:lang w:eastAsia="zh-CN"/>
              </w:rPr>
              <w:t>1.</w:t>
            </w:r>
            <w:r w:rsidRPr="001B7C50">
              <w:rPr>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0B9F9734" w14:textId="77777777" w:rsidR="005A0A98" w:rsidRPr="001B7C50" w:rsidRDefault="005A0A98" w:rsidP="00247D55">
            <w:pPr>
              <w:pStyle w:val="B1"/>
              <w:ind w:left="852"/>
              <w:rPr>
                <w:lang w:eastAsia="zh-CN"/>
              </w:rPr>
            </w:pPr>
            <w:r w:rsidRPr="001B7C50">
              <w:rPr>
                <w:lang w:eastAsia="zh-CN"/>
              </w:rPr>
              <w:t>2.</w:t>
            </w:r>
            <w:r w:rsidRPr="001B7C50">
              <w:rPr>
                <w:lang w:eastAsia="zh-CN"/>
              </w:rPr>
              <w:tab/>
            </w:r>
            <w:r w:rsidRPr="00247D55">
              <w:rPr>
                <w:highlight w:val="cyan"/>
                <w:lang w:eastAsia="zh-CN"/>
              </w:rPr>
              <w:t>When UE performs Initial Registration in 5GC and indicates that it is moving from EPC, the AMF indicates to the HSS+UDM not to cancel the registration of MME</w:t>
            </w:r>
            <w:r w:rsidRPr="001B7C50">
              <w:rPr>
                <w:lang w:eastAsia="zh-CN"/>
              </w:rPr>
              <w:t>, if any.</w:t>
            </w:r>
          </w:p>
          <w:p w14:paraId="7D256623" w14:textId="77777777" w:rsidR="005A0A98" w:rsidRDefault="005A0A98" w:rsidP="00247D55">
            <w:pPr>
              <w:pStyle w:val="CRCoverPage"/>
              <w:spacing w:after="0"/>
              <w:rPr>
                <w:lang w:eastAsia="zh-CN"/>
              </w:rPr>
            </w:pPr>
          </w:p>
        </w:tc>
      </w:tr>
    </w:tbl>
    <w:p w14:paraId="76FF4D6A" w14:textId="77777777" w:rsidR="005A0A98" w:rsidRDefault="005A0A98" w:rsidP="00E20381">
      <w:pPr>
        <w:pStyle w:val="CRCoverPage"/>
        <w:spacing w:after="0"/>
        <w:rPr>
          <w:lang w:eastAsia="zh-CN"/>
        </w:rPr>
      </w:pPr>
    </w:p>
    <w:p w14:paraId="6BF920AE" w14:textId="3B3520F3" w:rsidR="00E20381" w:rsidRDefault="005A0A98" w:rsidP="00E20381">
      <w:pPr>
        <w:pStyle w:val="CRCoverPage"/>
        <w:spacing w:after="0"/>
        <w:rPr>
          <w:lang w:eastAsia="zh-CN"/>
        </w:rPr>
      </w:pPr>
      <w:r>
        <w:rPr>
          <w:lang w:eastAsia="zh-CN"/>
        </w:rPr>
        <w:t xml:space="preserve">Then in </w:t>
      </w:r>
      <w:r w:rsidR="00E20381">
        <w:rPr>
          <w:lang w:eastAsia="zh-CN"/>
        </w:rPr>
        <w:t xml:space="preserve">TS24.501 clause 5.5.1.2.2 </w:t>
      </w:r>
      <w:r>
        <w:rPr>
          <w:lang w:eastAsia="zh-CN"/>
        </w:rPr>
        <w:t xml:space="preserve">it </w:t>
      </w:r>
      <w:r w:rsidR="00E20381">
        <w:rPr>
          <w:lang w:eastAsia="zh-CN"/>
        </w:rPr>
        <w:t>specifies that the UE in dual-r</w:t>
      </w:r>
      <w:r w:rsidR="00DD366E">
        <w:rPr>
          <w:lang w:eastAsia="zh-CN"/>
        </w:rPr>
        <w:t>egistration mode shall indicate</w:t>
      </w:r>
      <w:r w:rsidR="00E20381">
        <w:rPr>
          <w:lang w:eastAsia="zh-CN"/>
        </w:rPr>
        <w:t xml:space="preserve"> its </w:t>
      </w:r>
      <w:r w:rsidR="003331E7">
        <w:rPr>
          <w:lang w:eastAsia="zh-CN"/>
        </w:rPr>
        <w:t xml:space="preserve">EMM state </w:t>
      </w:r>
      <w:r w:rsidR="00E20381">
        <w:rPr>
          <w:lang w:eastAsia="zh-CN"/>
        </w:rPr>
        <w:t xml:space="preserve">EMM-REGISTERED to the AMF during </w:t>
      </w:r>
      <w:r w:rsidR="00DC297C">
        <w:rPr>
          <w:lang w:eastAsia="zh-CN"/>
        </w:rPr>
        <w:t xml:space="preserve">the </w:t>
      </w:r>
      <w:r w:rsidR="00E20381">
        <w:rPr>
          <w:lang w:eastAsia="zh-CN"/>
        </w:rPr>
        <w:t>initial registration: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274A8BE" w14:textId="77777777" w:rsidTr="00247D55">
        <w:tc>
          <w:tcPr>
            <w:tcW w:w="9605" w:type="dxa"/>
            <w:shd w:val="clear" w:color="auto" w:fill="auto"/>
          </w:tcPr>
          <w:p w14:paraId="4D300E14" w14:textId="4F36C635" w:rsidR="005A0A98" w:rsidRDefault="005A0A98" w:rsidP="00247D55">
            <w:pPr>
              <w:pStyle w:val="CRCoverPage"/>
              <w:spacing w:after="0"/>
              <w:rPr>
                <w:lang w:eastAsia="zh-CN"/>
              </w:rPr>
            </w:pPr>
            <w:r>
              <w:rPr>
                <w:lang w:eastAsia="zh-CN"/>
              </w:rPr>
              <w:t>&lt;&lt;TS24.501 clause 5.5.1.2.2&gt;&gt;</w:t>
            </w:r>
          </w:p>
          <w:p w14:paraId="3455017C" w14:textId="77777777" w:rsidR="005A0A98" w:rsidRDefault="005A0A98" w:rsidP="00247D55">
            <w:pPr>
              <w:pStyle w:val="CRCoverPage"/>
              <w:spacing w:after="0"/>
              <w:ind w:left="100"/>
              <w:rPr>
                <w:lang w:eastAsia="zh-CN"/>
              </w:rPr>
            </w:pPr>
          </w:p>
          <w:p w14:paraId="3C26C4B1" w14:textId="77777777" w:rsidR="005A0A98" w:rsidRDefault="005A0A98" w:rsidP="00247D55">
            <w:pPr>
              <w:ind w:left="284"/>
            </w:pPr>
            <w:r w:rsidRPr="00247D55">
              <w:rPr>
                <w:highlight w:val="cyan"/>
              </w:rPr>
              <w:lastRenderedPageBreak/>
              <w:t>If the UE is operating in the dual-registration mode and it is in EMM state EMM-REGISTERED, the UE shall include the UE status IE with the EMM registration status set to "UE is in EMM-REGISTERED state"</w:t>
            </w:r>
            <w:r w:rsidRPr="00EF5E22">
              <w:t>.</w:t>
            </w:r>
          </w:p>
          <w:p w14:paraId="0D1C51A4" w14:textId="1198549A" w:rsidR="005A0A98" w:rsidRDefault="005A0A98" w:rsidP="00247D55">
            <w:pPr>
              <w:pStyle w:val="NO"/>
              <w:ind w:left="1419"/>
              <w:rPr>
                <w:lang w:eastAsia="zh-CN"/>
              </w:rPr>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tc>
      </w:tr>
    </w:tbl>
    <w:p w14:paraId="0C32E545" w14:textId="4EDBBD51" w:rsidR="006E21DA" w:rsidRDefault="006E21DA">
      <w:pPr>
        <w:rPr>
          <w:rFonts w:ascii="Arial" w:hAnsi="Arial" w:cs="Arial"/>
        </w:rPr>
      </w:pPr>
    </w:p>
    <w:p w14:paraId="248E9103" w14:textId="11974C9A" w:rsidR="00DA2548" w:rsidRDefault="00DA2548">
      <w:pPr>
        <w:rPr>
          <w:rFonts w:ascii="Arial" w:hAnsi="Arial" w:cs="Arial"/>
        </w:rPr>
      </w:pPr>
      <w:r>
        <w:rPr>
          <w:rFonts w:ascii="Arial" w:hAnsi="Arial" w:cs="Arial"/>
        </w:rPr>
        <w:t xml:space="preserve">Currently, </w:t>
      </w:r>
      <w:r w:rsidR="00DA2113">
        <w:rPr>
          <w:rFonts w:ascii="Arial" w:hAnsi="Arial" w:cs="Arial"/>
        </w:rPr>
        <w:t xml:space="preserve">as specified in TS29.503 clause 5.3.2.2.2, </w:t>
      </w:r>
      <w:r>
        <w:rPr>
          <w:rFonts w:ascii="Arial" w:hAnsi="Arial" w:cs="Arial"/>
        </w:rPr>
        <w:t>when AMF regist</w:t>
      </w:r>
      <w:r w:rsidR="008B26ED">
        <w:rPr>
          <w:rFonts w:ascii="Arial" w:hAnsi="Arial" w:cs="Arial"/>
        </w:rPr>
        <w:t>ers</w:t>
      </w:r>
      <w:r>
        <w:rPr>
          <w:rFonts w:ascii="Arial" w:hAnsi="Arial" w:cs="Arial"/>
        </w:rPr>
        <w:t xml:space="preserve"> to the UDM, the AMF sets the dual registration flag (i.e. to true) based on the following factors: the network support</w:t>
      </w:r>
      <w:r w:rsidR="00E342AA">
        <w:rPr>
          <w:rFonts w:ascii="Arial" w:hAnsi="Arial" w:cs="Arial"/>
        </w:rPr>
        <w:t>s</w:t>
      </w:r>
      <w:r>
        <w:rPr>
          <w:rFonts w:ascii="Arial" w:hAnsi="Arial" w:cs="Arial"/>
        </w:rPr>
        <w:t xml:space="preserve"> EPS interworking </w:t>
      </w:r>
      <w:r w:rsidR="000E517B">
        <w:rPr>
          <w:rFonts w:ascii="Arial" w:hAnsi="Arial" w:cs="Arial"/>
        </w:rPr>
        <w:t xml:space="preserve">without </w:t>
      </w:r>
      <w:r>
        <w:rPr>
          <w:rFonts w:ascii="Arial" w:hAnsi="Arial" w:cs="Arial"/>
        </w:rPr>
        <w:t>N26</w:t>
      </w:r>
      <w:r w:rsidR="00106A05">
        <w:rPr>
          <w:rFonts w:ascii="Arial" w:hAnsi="Arial" w:cs="Arial"/>
        </w:rPr>
        <w:t xml:space="preserve"> interface</w:t>
      </w:r>
      <w:r>
        <w:rPr>
          <w:rFonts w:ascii="Arial" w:hAnsi="Arial" w:cs="Arial"/>
        </w:rPr>
        <w:t xml:space="preserve">, the UE operates in dual registration mode (i.e. corresponding to the EMM state of EMM-REGISTERED). The UDM </w:t>
      </w:r>
      <w:r w:rsidR="00F0251E">
        <w:rPr>
          <w:rFonts w:ascii="Arial" w:hAnsi="Arial" w:cs="Arial"/>
        </w:rPr>
        <w:t>does</w:t>
      </w:r>
      <w:r w:rsidR="008B26ED">
        <w:rPr>
          <w:rFonts w:ascii="Arial" w:hAnsi="Arial" w:cs="Arial"/>
        </w:rPr>
        <w:t xml:space="preserve"> not send de-registration notification to the MME (via the HSS),</w:t>
      </w:r>
      <w:r>
        <w:rPr>
          <w:rFonts w:ascii="Arial" w:hAnsi="Arial" w:cs="Arial"/>
        </w:rPr>
        <w:t xml:space="preserve"> based on the dual registration flag</w:t>
      </w:r>
      <w:r w:rsidR="008B26ED">
        <w:rPr>
          <w:rFonts w:ascii="Arial" w:hAnsi="Arial" w:cs="Arial"/>
        </w:rPr>
        <w:t xml:space="preserve"> that is received from </w:t>
      </w:r>
      <w:r w:rsidR="00B15CB8">
        <w:rPr>
          <w:rFonts w:ascii="Arial" w:hAnsi="Arial" w:cs="Arial"/>
        </w:rPr>
        <w:t xml:space="preserve">the </w:t>
      </w:r>
      <w:r w:rsidR="008B26ED">
        <w:rPr>
          <w:rFonts w:ascii="Arial" w:hAnsi="Arial" w:cs="Arial"/>
        </w:rPr>
        <w:t>AMF</w:t>
      </w:r>
      <w:r w:rsidR="006F7C26">
        <w:rPr>
          <w:rFonts w:ascii="Arial" w:hAnsi="Arial" w:cs="Arial"/>
        </w:rPr>
        <w:t>.</w:t>
      </w:r>
    </w:p>
    <w:p w14:paraId="0C5DECBF" w14:textId="77777777" w:rsidR="00DA2548" w:rsidRDefault="00DA2548">
      <w:pPr>
        <w:rPr>
          <w:rFonts w:ascii="Arial" w:hAnsi="Arial" w:cs="Arial"/>
        </w:rPr>
      </w:pPr>
    </w:p>
    <w:p w14:paraId="5EFABA0B" w14:textId="7AF07DB9" w:rsidR="00E20381" w:rsidRDefault="00B474CF">
      <w:pPr>
        <w:rPr>
          <w:rFonts w:ascii="Arial" w:hAnsi="Arial" w:cs="Arial"/>
        </w:rPr>
      </w:pPr>
      <w:r>
        <w:rPr>
          <w:rFonts w:ascii="Arial" w:hAnsi="Arial" w:cs="Arial"/>
        </w:rPr>
        <w:t>As TS24.501 doesn’t specify that in other procedures (e.g. periodic registration, mobility registration</w:t>
      </w:r>
      <w:r w:rsidR="00AE5425">
        <w:rPr>
          <w:rFonts w:ascii="Arial" w:hAnsi="Arial" w:cs="Arial"/>
        </w:rPr>
        <w:t>, handover</w:t>
      </w:r>
      <w:r>
        <w:rPr>
          <w:rFonts w:ascii="Arial" w:hAnsi="Arial" w:cs="Arial"/>
        </w:rPr>
        <w:t xml:space="preserve">) </w:t>
      </w:r>
      <w:r w:rsidR="00433DF7">
        <w:rPr>
          <w:rFonts w:ascii="Arial" w:hAnsi="Arial" w:cs="Arial"/>
        </w:rPr>
        <w:t>a</w:t>
      </w:r>
      <w:r>
        <w:rPr>
          <w:rFonts w:ascii="Arial" w:hAnsi="Arial" w:cs="Arial"/>
        </w:rPr>
        <w:t xml:space="preserve"> UE </w:t>
      </w:r>
      <w:r w:rsidR="008C1DA1">
        <w:rPr>
          <w:rFonts w:ascii="Arial" w:hAnsi="Arial" w:cs="Arial"/>
        </w:rPr>
        <w:t xml:space="preserve">operating in dual registration mode </w:t>
      </w:r>
      <w:r>
        <w:rPr>
          <w:rFonts w:ascii="Arial" w:hAnsi="Arial" w:cs="Arial"/>
        </w:rPr>
        <w:t>still indicate</w:t>
      </w:r>
      <w:r w:rsidR="00DF40BD">
        <w:rPr>
          <w:rFonts w:ascii="Arial" w:hAnsi="Arial" w:cs="Arial"/>
        </w:rPr>
        <w:t>s</w:t>
      </w:r>
      <w:r>
        <w:rPr>
          <w:rFonts w:ascii="Arial" w:hAnsi="Arial" w:cs="Arial"/>
        </w:rPr>
        <w:t xml:space="preserve"> its EMM </w:t>
      </w:r>
      <w:r w:rsidR="00F0251E">
        <w:rPr>
          <w:rFonts w:ascii="Arial" w:hAnsi="Arial" w:cs="Arial"/>
        </w:rPr>
        <w:t>registration</w:t>
      </w:r>
      <w:r w:rsidR="008B26ED">
        <w:rPr>
          <w:rFonts w:ascii="Arial" w:hAnsi="Arial" w:cs="Arial"/>
        </w:rPr>
        <w:t xml:space="preserve"> </w:t>
      </w:r>
      <w:r>
        <w:rPr>
          <w:rFonts w:ascii="Arial" w:hAnsi="Arial" w:cs="Arial"/>
        </w:rPr>
        <w:t>stat</w:t>
      </w:r>
      <w:r w:rsidR="008B26ED">
        <w:rPr>
          <w:rFonts w:ascii="Arial" w:hAnsi="Arial" w:cs="Arial"/>
        </w:rPr>
        <w:t>us</w:t>
      </w:r>
      <w:r>
        <w:rPr>
          <w:rFonts w:ascii="Arial" w:hAnsi="Arial" w:cs="Arial"/>
        </w:rPr>
        <w:t xml:space="preserve"> to the AMF, </w:t>
      </w:r>
      <w:r w:rsidR="00AE5425">
        <w:rPr>
          <w:rFonts w:ascii="Arial" w:hAnsi="Arial" w:cs="Arial"/>
        </w:rPr>
        <w:t>it cause</w:t>
      </w:r>
      <w:r w:rsidR="00226B07">
        <w:rPr>
          <w:rFonts w:ascii="Arial" w:hAnsi="Arial" w:cs="Arial"/>
        </w:rPr>
        <w:t>s</w:t>
      </w:r>
      <w:r w:rsidR="00AE5425">
        <w:rPr>
          <w:rFonts w:ascii="Arial" w:hAnsi="Arial" w:cs="Arial"/>
        </w:rPr>
        <w:t xml:space="preserve"> question</w:t>
      </w:r>
      <w:r w:rsidR="00226B07">
        <w:rPr>
          <w:rFonts w:ascii="Arial" w:hAnsi="Arial" w:cs="Arial"/>
        </w:rPr>
        <w:t>s</w:t>
      </w:r>
      <w:r w:rsidR="00AE5425">
        <w:rPr>
          <w:rFonts w:ascii="Arial" w:hAnsi="Arial" w:cs="Arial"/>
        </w:rPr>
        <w:t xml:space="preserve"> to CT4 that </w:t>
      </w:r>
      <w:r w:rsidR="00DF40BD">
        <w:rPr>
          <w:rFonts w:ascii="Arial" w:hAnsi="Arial" w:cs="Arial"/>
        </w:rPr>
        <w:t xml:space="preserve">in such cases how </w:t>
      </w:r>
      <w:r w:rsidR="00AE5425">
        <w:rPr>
          <w:rFonts w:ascii="Arial" w:hAnsi="Arial" w:cs="Arial"/>
        </w:rPr>
        <w:t xml:space="preserve">the AMF </w:t>
      </w:r>
      <w:r w:rsidR="00DF40BD">
        <w:rPr>
          <w:rFonts w:ascii="Arial" w:hAnsi="Arial" w:cs="Arial"/>
        </w:rPr>
        <w:t xml:space="preserve">can </w:t>
      </w:r>
      <w:r w:rsidR="008B26ED">
        <w:rPr>
          <w:rFonts w:ascii="Arial" w:hAnsi="Arial" w:cs="Arial"/>
        </w:rPr>
        <w:t>set the</w:t>
      </w:r>
      <w:r w:rsidR="00DF40BD">
        <w:rPr>
          <w:rFonts w:ascii="Arial" w:hAnsi="Arial" w:cs="Arial"/>
        </w:rPr>
        <w:t xml:space="preserve"> dual registration flag</w:t>
      </w:r>
      <w:r w:rsidR="007F3D61">
        <w:rPr>
          <w:rFonts w:ascii="Arial" w:hAnsi="Arial" w:cs="Arial"/>
        </w:rPr>
        <w:t xml:space="preserve"> when AMF </w:t>
      </w:r>
      <w:r w:rsidR="008B26ED">
        <w:rPr>
          <w:rFonts w:ascii="Arial" w:hAnsi="Arial" w:cs="Arial"/>
        </w:rPr>
        <w:t xml:space="preserve">performs a </w:t>
      </w:r>
      <w:r w:rsidR="007F3D61">
        <w:rPr>
          <w:rFonts w:ascii="Arial" w:hAnsi="Arial" w:cs="Arial"/>
        </w:rPr>
        <w:t>registration to the UDM</w:t>
      </w:r>
      <w:r w:rsidR="00226B07">
        <w:rPr>
          <w:rFonts w:ascii="Arial" w:hAnsi="Arial" w:cs="Arial"/>
        </w:rPr>
        <w:t>, e.g. during inter-AMF changes</w:t>
      </w:r>
      <w:r w:rsidR="007F3D61">
        <w:rPr>
          <w:rFonts w:ascii="Arial" w:hAnsi="Arial" w:cs="Arial"/>
        </w:rPr>
        <w:t>.</w:t>
      </w:r>
      <w:r w:rsidR="005076CA">
        <w:rPr>
          <w:rFonts w:ascii="Arial" w:hAnsi="Arial" w:cs="Arial"/>
        </w:rPr>
        <w:t xml:space="preserve"> In general, the AMF needs to know </w:t>
      </w:r>
      <w:r w:rsidR="00F0251E">
        <w:rPr>
          <w:rFonts w:ascii="Arial" w:hAnsi="Arial" w:cs="Arial"/>
        </w:rPr>
        <w:t xml:space="preserve">whether </w:t>
      </w:r>
      <w:r w:rsidR="00950218">
        <w:rPr>
          <w:rFonts w:ascii="Arial" w:hAnsi="Arial" w:cs="Arial"/>
        </w:rPr>
        <w:t xml:space="preserve">the </w:t>
      </w:r>
      <w:r w:rsidR="00F0251E">
        <w:rPr>
          <w:rFonts w:ascii="Arial" w:hAnsi="Arial" w:cs="Arial"/>
        </w:rPr>
        <w:t>UE operates in dual registration mode</w:t>
      </w:r>
      <w:r w:rsidR="00A44613">
        <w:rPr>
          <w:rFonts w:ascii="Arial" w:hAnsi="Arial" w:cs="Arial"/>
        </w:rPr>
        <w:t>.</w:t>
      </w:r>
    </w:p>
    <w:p w14:paraId="2053D6B9" w14:textId="77777777" w:rsidR="00F413F0" w:rsidRDefault="00F413F0">
      <w:pPr>
        <w:rPr>
          <w:rFonts w:ascii="Arial" w:hAnsi="Arial" w:cs="Arial"/>
        </w:rPr>
      </w:pPr>
    </w:p>
    <w:p w14:paraId="4B61322D" w14:textId="5381A221" w:rsidR="00F413F0" w:rsidRDefault="00402C3E">
      <w:pPr>
        <w:rPr>
          <w:rFonts w:ascii="Arial" w:hAnsi="Arial" w:cs="Arial"/>
        </w:rPr>
      </w:pPr>
      <w:r>
        <w:rPr>
          <w:rFonts w:ascii="Arial" w:hAnsi="Arial" w:cs="Arial"/>
        </w:rPr>
        <w:t>To assist understanding how the dual registration mode actually works, CT4 would like to ask the following questions to CT1:</w:t>
      </w:r>
    </w:p>
    <w:p w14:paraId="0D0FB7B2" w14:textId="77777777" w:rsidR="000C5ECE" w:rsidRDefault="000C5ECE" w:rsidP="000C5ECE">
      <w:pPr>
        <w:rPr>
          <w:rFonts w:ascii="Arial" w:hAnsi="Arial" w:cs="Arial"/>
        </w:rPr>
      </w:pPr>
    </w:p>
    <w:p w14:paraId="164A501D" w14:textId="4A9CA8C9" w:rsidR="000C5ECE" w:rsidRDefault="00402C3E" w:rsidP="000721E1">
      <w:pPr>
        <w:ind w:left="720"/>
        <w:rPr>
          <w:rFonts w:ascii="Arial" w:hAnsi="Arial" w:cs="Arial"/>
        </w:rPr>
      </w:pPr>
      <w:r w:rsidRPr="000C5ECE">
        <w:rPr>
          <w:rFonts w:ascii="Arial" w:hAnsi="Arial" w:cs="Arial"/>
          <w:b/>
        </w:rPr>
        <w:t>Q1</w:t>
      </w:r>
      <w:r>
        <w:rPr>
          <w:rFonts w:ascii="Arial" w:hAnsi="Arial" w:cs="Arial"/>
        </w:rPr>
        <w:t xml:space="preserve">: </w:t>
      </w:r>
      <w:r w:rsidR="00433DF7">
        <w:rPr>
          <w:rFonts w:ascii="Arial" w:hAnsi="Arial" w:cs="Arial"/>
        </w:rPr>
        <w:t>Does a</w:t>
      </w:r>
      <w:r w:rsidR="00094BFC">
        <w:rPr>
          <w:rFonts w:ascii="Arial" w:hAnsi="Arial" w:cs="Arial"/>
        </w:rPr>
        <w:t xml:space="preserve"> UE operating in dual </w:t>
      </w:r>
      <w:r w:rsidR="00C65829">
        <w:rPr>
          <w:rFonts w:ascii="Arial" w:hAnsi="Arial" w:cs="Arial"/>
        </w:rPr>
        <w:t>registration mode only indicate</w:t>
      </w:r>
      <w:r w:rsidR="00094BFC">
        <w:rPr>
          <w:rFonts w:ascii="Arial" w:hAnsi="Arial" w:cs="Arial"/>
        </w:rPr>
        <w:t xml:space="preserve"> the EMM state of EMM-REGISTERED in the initial registration procedure? Or, </w:t>
      </w:r>
      <w:r w:rsidR="00DF46B2">
        <w:rPr>
          <w:rFonts w:ascii="Arial" w:hAnsi="Arial" w:cs="Arial"/>
        </w:rPr>
        <w:t xml:space="preserve">should </w:t>
      </w:r>
      <w:r w:rsidR="00094BFC">
        <w:rPr>
          <w:rFonts w:ascii="Arial" w:hAnsi="Arial" w:cs="Arial"/>
        </w:rPr>
        <w:t xml:space="preserve">the UE also indicate </w:t>
      </w:r>
      <w:r w:rsidR="000C5ECE">
        <w:rPr>
          <w:rFonts w:ascii="Arial" w:hAnsi="Arial" w:cs="Arial"/>
        </w:rPr>
        <w:t xml:space="preserve">the EMM </w:t>
      </w:r>
      <w:r w:rsidR="00DF46B2">
        <w:rPr>
          <w:rFonts w:ascii="Arial" w:hAnsi="Arial" w:cs="Arial"/>
        </w:rPr>
        <w:t>registration status</w:t>
      </w:r>
      <w:r w:rsidR="000C5ECE">
        <w:rPr>
          <w:rFonts w:ascii="Arial" w:hAnsi="Arial" w:cs="Arial"/>
        </w:rPr>
        <w:t xml:space="preserve"> in </w:t>
      </w:r>
      <w:r w:rsidR="00DA2548">
        <w:rPr>
          <w:rFonts w:ascii="Arial" w:hAnsi="Arial" w:cs="Arial"/>
        </w:rPr>
        <w:t>periodic registration procedure</w:t>
      </w:r>
      <w:r w:rsidR="000C5ECE">
        <w:rPr>
          <w:rFonts w:ascii="Arial" w:hAnsi="Arial" w:cs="Arial"/>
        </w:rPr>
        <w:t xml:space="preserve"> or mobility registration procedure?</w:t>
      </w:r>
    </w:p>
    <w:p w14:paraId="085DAF03" w14:textId="77777777" w:rsidR="000C5ECE" w:rsidRDefault="000C5ECE" w:rsidP="000721E1">
      <w:pPr>
        <w:ind w:left="720"/>
        <w:rPr>
          <w:rFonts w:ascii="Arial" w:hAnsi="Arial" w:cs="Arial"/>
        </w:rPr>
      </w:pPr>
    </w:p>
    <w:p w14:paraId="33DBDC86" w14:textId="2E2A9587" w:rsidR="00AE5425" w:rsidRDefault="00402C3E" w:rsidP="000721E1">
      <w:pPr>
        <w:ind w:left="720"/>
        <w:rPr>
          <w:rFonts w:ascii="Arial" w:hAnsi="Arial" w:cs="Arial"/>
        </w:rPr>
      </w:pPr>
      <w:r w:rsidRPr="000C5ECE">
        <w:rPr>
          <w:rFonts w:ascii="Arial" w:hAnsi="Arial" w:cs="Arial"/>
          <w:b/>
        </w:rPr>
        <w:t>Q2</w:t>
      </w:r>
      <w:r>
        <w:rPr>
          <w:rFonts w:ascii="Arial" w:hAnsi="Arial" w:cs="Arial"/>
        </w:rPr>
        <w:t xml:space="preserve">: </w:t>
      </w:r>
      <w:r w:rsidR="00433DF7">
        <w:rPr>
          <w:rFonts w:ascii="Arial" w:hAnsi="Arial" w:cs="Arial"/>
        </w:rPr>
        <w:t xml:space="preserve">If </w:t>
      </w:r>
      <w:r w:rsidR="00D60589">
        <w:rPr>
          <w:rFonts w:ascii="Arial" w:hAnsi="Arial" w:cs="Arial"/>
        </w:rPr>
        <w:t>a</w:t>
      </w:r>
      <w:r w:rsidR="00857595">
        <w:rPr>
          <w:rFonts w:ascii="Arial" w:hAnsi="Arial" w:cs="Arial"/>
        </w:rPr>
        <w:t xml:space="preserve"> UE</w:t>
      </w:r>
      <w:r w:rsidR="003362A0">
        <w:rPr>
          <w:rFonts w:ascii="Arial" w:hAnsi="Arial" w:cs="Arial"/>
        </w:rPr>
        <w:t>'s</w:t>
      </w:r>
      <w:r w:rsidR="00857595">
        <w:rPr>
          <w:rFonts w:ascii="Arial" w:hAnsi="Arial" w:cs="Arial"/>
        </w:rPr>
        <w:t xml:space="preserve"> registration mode</w:t>
      </w:r>
      <w:r w:rsidR="00993C00">
        <w:rPr>
          <w:rFonts w:ascii="Arial" w:hAnsi="Arial" w:cs="Arial"/>
        </w:rPr>
        <w:t xml:space="preserve"> </w:t>
      </w:r>
      <w:r w:rsidR="008B26ED">
        <w:rPr>
          <w:rFonts w:ascii="Arial" w:hAnsi="Arial" w:cs="Arial"/>
        </w:rPr>
        <w:t>(single/dual registration mode) is altered due to</w:t>
      </w:r>
      <w:r w:rsidR="00857595">
        <w:rPr>
          <w:rFonts w:ascii="Arial" w:hAnsi="Arial" w:cs="Arial"/>
        </w:rPr>
        <w:t xml:space="preserve"> </w:t>
      </w:r>
      <w:r w:rsidR="00C42946">
        <w:rPr>
          <w:rFonts w:ascii="Arial" w:hAnsi="Arial" w:cs="Arial"/>
        </w:rPr>
        <w:t xml:space="preserve">it </w:t>
      </w:r>
      <w:r w:rsidR="00E40DAA">
        <w:rPr>
          <w:rFonts w:ascii="Arial" w:hAnsi="Arial" w:cs="Arial"/>
        </w:rPr>
        <w:t xml:space="preserve">turns off the dual registration mode or </w:t>
      </w:r>
      <w:r w:rsidR="00857595">
        <w:rPr>
          <w:rFonts w:ascii="Arial" w:hAnsi="Arial" w:cs="Arial"/>
        </w:rPr>
        <w:t xml:space="preserve">detaches from EPS, </w:t>
      </w:r>
      <w:r w:rsidR="00226B07">
        <w:rPr>
          <w:rFonts w:ascii="Arial" w:hAnsi="Arial" w:cs="Arial"/>
        </w:rPr>
        <w:t xml:space="preserve">or if </w:t>
      </w:r>
      <w:r w:rsidR="00433DF7">
        <w:rPr>
          <w:rFonts w:ascii="Arial" w:hAnsi="Arial" w:cs="Arial"/>
        </w:rPr>
        <w:t>a</w:t>
      </w:r>
      <w:r w:rsidR="00B5021C">
        <w:rPr>
          <w:rFonts w:ascii="Arial" w:hAnsi="Arial" w:cs="Arial"/>
        </w:rPr>
        <w:t xml:space="preserve"> </w:t>
      </w:r>
      <w:r w:rsidR="00226B07">
        <w:rPr>
          <w:rFonts w:ascii="Arial" w:hAnsi="Arial" w:cs="Arial"/>
        </w:rPr>
        <w:t xml:space="preserve">UE </w:t>
      </w:r>
      <w:r w:rsidR="00F0251E">
        <w:rPr>
          <w:rFonts w:ascii="Arial" w:hAnsi="Arial" w:cs="Arial"/>
        </w:rPr>
        <w:t>is not registered to EPS during the init</w:t>
      </w:r>
      <w:r w:rsidR="00993C00">
        <w:rPr>
          <w:rFonts w:ascii="Arial" w:hAnsi="Arial" w:cs="Arial"/>
        </w:rPr>
        <w:t>i</w:t>
      </w:r>
      <w:r w:rsidR="00F0251E">
        <w:rPr>
          <w:rFonts w:ascii="Arial" w:hAnsi="Arial" w:cs="Arial"/>
        </w:rPr>
        <w:t xml:space="preserve">al registration to 5GS </w:t>
      </w:r>
      <w:r w:rsidR="00B5021C">
        <w:rPr>
          <w:rFonts w:ascii="Arial" w:hAnsi="Arial" w:cs="Arial"/>
        </w:rPr>
        <w:t>but</w:t>
      </w:r>
      <w:r w:rsidR="00226B07">
        <w:rPr>
          <w:rFonts w:ascii="Arial" w:hAnsi="Arial" w:cs="Arial"/>
        </w:rPr>
        <w:t xml:space="preserve"> later on it </w:t>
      </w:r>
      <w:r w:rsidR="000A52F5">
        <w:rPr>
          <w:rFonts w:ascii="Arial" w:hAnsi="Arial" w:cs="Arial"/>
        </w:rPr>
        <w:t>registers</w:t>
      </w:r>
      <w:r w:rsidR="00226B07">
        <w:rPr>
          <w:rFonts w:ascii="Arial" w:hAnsi="Arial" w:cs="Arial"/>
        </w:rPr>
        <w:t xml:space="preserve"> to the EP</w:t>
      </w:r>
      <w:r w:rsidR="00BF096C">
        <w:rPr>
          <w:rFonts w:ascii="Arial" w:hAnsi="Arial" w:cs="Arial"/>
        </w:rPr>
        <w:t>S</w:t>
      </w:r>
      <w:r w:rsidR="00226B07">
        <w:rPr>
          <w:rFonts w:ascii="Arial" w:hAnsi="Arial" w:cs="Arial"/>
        </w:rPr>
        <w:t xml:space="preserve">, </w:t>
      </w:r>
      <w:r w:rsidR="00857595">
        <w:rPr>
          <w:rFonts w:ascii="Arial" w:hAnsi="Arial" w:cs="Arial"/>
        </w:rPr>
        <w:t>wh</w:t>
      </w:r>
      <w:r w:rsidR="00E40DAA">
        <w:rPr>
          <w:rFonts w:ascii="Arial" w:hAnsi="Arial" w:cs="Arial"/>
        </w:rPr>
        <w:t>at information</w:t>
      </w:r>
      <w:r w:rsidR="00857595">
        <w:rPr>
          <w:rFonts w:ascii="Arial" w:hAnsi="Arial" w:cs="Arial"/>
        </w:rPr>
        <w:t xml:space="preserve"> </w:t>
      </w:r>
      <w:r w:rsidR="00DF46B2">
        <w:rPr>
          <w:rFonts w:ascii="Arial" w:hAnsi="Arial" w:cs="Arial"/>
        </w:rPr>
        <w:t xml:space="preserve">will </w:t>
      </w:r>
      <w:r w:rsidR="00EE4A52">
        <w:rPr>
          <w:rFonts w:ascii="Arial" w:hAnsi="Arial" w:cs="Arial"/>
        </w:rPr>
        <w:t>the UE</w:t>
      </w:r>
      <w:r w:rsidR="00857595">
        <w:rPr>
          <w:rFonts w:ascii="Arial" w:hAnsi="Arial" w:cs="Arial"/>
        </w:rPr>
        <w:t xml:space="preserve"> indicate to the AMF and in which procedure?</w:t>
      </w:r>
    </w:p>
    <w:p w14:paraId="5CE533C8" w14:textId="77777777" w:rsidR="00F86083" w:rsidRDefault="00F86083">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E3F34EB" w:rsidR="00463675" w:rsidRPr="006E21DA" w:rsidRDefault="00463675">
      <w:pPr>
        <w:spacing w:after="120"/>
        <w:ind w:left="1985" w:hanging="1985"/>
        <w:rPr>
          <w:rFonts w:ascii="Arial" w:hAnsi="Arial" w:cs="Arial"/>
          <w:b/>
        </w:rPr>
      </w:pPr>
      <w:r w:rsidRPr="006E21DA">
        <w:rPr>
          <w:rFonts w:ascii="Arial" w:hAnsi="Arial" w:cs="Arial"/>
          <w:b/>
        </w:rPr>
        <w:t xml:space="preserve">To </w:t>
      </w:r>
      <w:r w:rsidR="000E517B">
        <w:rPr>
          <w:rFonts w:ascii="Arial" w:hAnsi="Arial" w:cs="Arial"/>
          <w:b/>
        </w:rPr>
        <w:t xml:space="preserve">CT1 </w:t>
      </w:r>
      <w:r w:rsidRPr="006E21DA">
        <w:rPr>
          <w:rFonts w:ascii="Arial" w:hAnsi="Arial" w:cs="Arial"/>
          <w:b/>
        </w:rPr>
        <w:t>group.</w:t>
      </w:r>
    </w:p>
    <w:p w14:paraId="4CFA2AD2" w14:textId="69DDE7CC" w:rsidR="00463675" w:rsidRPr="006E21DA" w:rsidRDefault="00463675">
      <w:pPr>
        <w:spacing w:after="120"/>
        <w:ind w:left="993" w:hanging="993"/>
        <w:rPr>
          <w:rFonts w:ascii="Arial" w:hAnsi="Arial" w:cs="Arial"/>
        </w:rPr>
      </w:pPr>
      <w:r w:rsidRPr="006E21DA">
        <w:rPr>
          <w:rFonts w:ascii="Arial" w:hAnsi="Arial" w:cs="Arial"/>
          <w:b/>
        </w:rPr>
        <w:t xml:space="preserve">ACTION: </w:t>
      </w:r>
      <w:r w:rsidRPr="006E21DA">
        <w:rPr>
          <w:rFonts w:ascii="Arial" w:hAnsi="Arial" w:cs="Arial"/>
          <w:b/>
        </w:rPr>
        <w:tab/>
      </w:r>
      <w:r w:rsidR="006E21DA" w:rsidRPr="006E21DA">
        <w:rPr>
          <w:rFonts w:ascii="Arial" w:hAnsi="Arial" w:cs="Arial"/>
        </w:rPr>
        <w:t>CT4</w:t>
      </w:r>
      <w:r w:rsidRPr="006E21DA">
        <w:rPr>
          <w:rFonts w:ascii="Arial" w:hAnsi="Arial" w:cs="Arial"/>
        </w:rPr>
        <w:t xml:space="preserve"> </w:t>
      </w:r>
      <w:r w:rsidR="002068A8">
        <w:rPr>
          <w:rFonts w:ascii="Arial" w:hAnsi="Arial" w:cs="Arial"/>
        </w:rPr>
        <w:t xml:space="preserve">kindly </w:t>
      </w:r>
      <w:r w:rsidRPr="006E21DA">
        <w:rPr>
          <w:rFonts w:ascii="Arial" w:hAnsi="Arial" w:cs="Arial"/>
        </w:rPr>
        <w:t xml:space="preserve">asks </w:t>
      </w:r>
      <w:r w:rsidR="002068A8">
        <w:rPr>
          <w:rFonts w:ascii="Arial" w:hAnsi="Arial" w:cs="Arial"/>
        </w:rPr>
        <w:t>CT1</w:t>
      </w:r>
      <w:r w:rsidRPr="006E21DA">
        <w:rPr>
          <w:rFonts w:ascii="Arial" w:hAnsi="Arial" w:cs="Arial"/>
        </w:rPr>
        <w:t xml:space="preserve"> group to </w:t>
      </w:r>
      <w:r w:rsidR="000E517B">
        <w:rPr>
          <w:rFonts w:ascii="Arial" w:hAnsi="Arial" w:cs="Arial"/>
        </w:rPr>
        <w:t xml:space="preserve">answer </w:t>
      </w:r>
      <w:r w:rsidR="002068A8">
        <w:rPr>
          <w:rFonts w:ascii="Arial" w:hAnsi="Arial" w:cs="Arial"/>
        </w:rPr>
        <w:t xml:space="preserve">the above questions and provide </w:t>
      </w:r>
      <w:r w:rsidR="00020003">
        <w:rPr>
          <w:rFonts w:ascii="Arial" w:hAnsi="Arial" w:cs="Arial"/>
        </w:rPr>
        <w:t>clarification</w:t>
      </w:r>
      <w:r w:rsidR="002068A8">
        <w:rPr>
          <w:rFonts w:ascii="Arial" w:hAnsi="Arial" w:cs="Arial"/>
        </w:rPr>
        <w:t xml:space="preserve"> </w:t>
      </w:r>
      <w:r w:rsidR="006E21DA" w:rsidRPr="006E21DA">
        <w:rPr>
          <w:rFonts w:ascii="Arial" w:hAnsi="Arial" w:cs="Arial"/>
        </w:rPr>
        <w:t>accordingly.</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65006E"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9A2AC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24013" w14:textId="77777777" w:rsidR="0065006E" w:rsidRDefault="0065006E">
      <w:r>
        <w:separator/>
      </w:r>
    </w:p>
  </w:endnote>
  <w:endnote w:type="continuationSeparator" w:id="0">
    <w:p w14:paraId="2AD55E15" w14:textId="77777777" w:rsidR="0065006E" w:rsidRDefault="0065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8AA13" w14:textId="77777777" w:rsidR="0065006E" w:rsidRDefault="0065006E">
      <w:r>
        <w:separator/>
      </w:r>
    </w:p>
  </w:footnote>
  <w:footnote w:type="continuationSeparator" w:id="0">
    <w:p w14:paraId="7BF803F7" w14:textId="77777777" w:rsidR="0065006E" w:rsidRDefault="00650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B1090"/>
    <w:multiLevelType w:val="hybridMultilevel"/>
    <w:tmpl w:val="4048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003"/>
    <w:rsid w:val="00020638"/>
    <w:rsid w:val="00027ACA"/>
    <w:rsid w:val="00061460"/>
    <w:rsid w:val="000721E1"/>
    <w:rsid w:val="00094BFC"/>
    <w:rsid w:val="000A52F5"/>
    <w:rsid w:val="000B1AA1"/>
    <w:rsid w:val="000C5ECE"/>
    <w:rsid w:val="000E517B"/>
    <w:rsid w:val="000F4E43"/>
    <w:rsid w:val="00105899"/>
    <w:rsid w:val="00106A05"/>
    <w:rsid w:val="00112BCF"/>
    <w:rsid w:val="00160824"/>
    <w:rsid w:val="001608BF"/>
    <w:rsid w:val="001734EB"/>
    <w:rsid w:val="00195078"/>
    <w:rsid w:val="001A4AF7"/>
    <w:rsid w:val="001D5033"/>
    <w:rsid w:val="002068A8"/>
    <w:rsid w:val="00226B07"/>
    <w:rsid w:val="00247D55"/>
    <w:rsid w:val="002633BE"/>
    <w:rsid w:val="002707AF"/>
    <w:rsid w:val="00281A1F"/>
    <w:rsid w:val="002B0E8B"/>
    <w:rsid w:val="002B72E9"/>
    <w:rsid w:val="002C130F"/>
    <w:rsid w:val="002D26C0"/>
    <w:rsid w:val="002E7C28"/>
    <w:rsid w:val="00304F14"/>
    <w:rsid w:val="00324107"/>
    <w:rsid w:val="00326B06"/>
    <w:rsid w:val="003331E7"/>
    <w:rsid w:val="003362A0"/>
    <w:rsid w:val="00347947"/>
    <w:rsid w:val="003663C4"/>
    <w:rsid w:val="00367678"/>
    <w:rsid w:val="003901E1"/>
    <w:rsid w:val="00392F85"/>
    <w:rsid w:val="003A6E50"/>
    <w:rsid w:val="003D4F76"/>
    <w:rsid w:val="003F3778"/>
    <w:rsid w:val="00401229"/>
    <w:rsid w:val="00402C3E"/>
    <w:rsid w:val="0041019A"/>
    <w:rsid w:val="004234FF"/>
    <w:rsid w:val="0043286A"/>
    <w:rsid w:val="00433139"/>
    <w:rsid w:val="00433DF7"/>
    <w:rsid w:val="00442B81"/>
    <w:rsid w:val="00445241"/>
    <w:rsid w:val="00463675"/>
    <w:rsid w:val="00477720"/>
    <w:rsid w:val="004A645F"/>
    <w:rsid w:val="004B43FA"/>
    <w:rsid w:val="004C3F5A"/>
    <w:rsid w:val="004C4DCF"/>
    <w:rsid w:val="004D6FD5"/>
    <w:rsid w:val="00503DD8"/>
    <w:rsid w:val="00507006"/>
    <w:rsid w:val="005076CA"/>
    <w:rsid w:val="005144AE"/>
    <w:rsid w:val="00554AF0"/>
    <w:rsid w:val="00584B08"/>
    <w:rsid w:val="0059607A"/>
    <w:rsid w:val="005A0A98"/>
    <w:rsid w:val="005B0AB1"/>
    <w:rsid w:val="005C7CC1"/>
    <w:rsid w:val="005D267A"/>
    <w:rsid w:val="0065006E"/>
    <w:rsid w:val="00654758"/>
    <w:rsid w:val="00671BDC"/>
    <w:rsid w:val="0068420E"/>
    <w:rsid w:val="00687A0B"/>
    <w:rsid w:val="00687EDE"/>
    <w:rsid w:val="00694042"/>
    <w:rsid w:val="006D0B09"/>
    <w:rsid w:val="006E17C7"/>
    <w:rsid w:val="006E21DA"/>
    <w:rsid w:val="006F7C26"/>
    <w:rsid w:val="007032C5"/>
    <w:rsid w:val="007116E4"/>
    <w:rsid w:val="00726FC3"/>
    <w:rsid w:val="007713F0"/>
    <w:rsid w:val="0077485D"/>
    <w:rsid w:val="0077681E"/>
    <w:rsid w:val="007F3D61"/>
    <w:rsid w:val="00847474"/>
    <w:rsid w:val="00857595"/>
    <w:rsid w:val="008701CA"/>
    <w:rsid w:val="00874160"/>
    <w:rsid w:val="0089666F"/>
    <w:rsid w:val="008B26ED"/>
    <w:rsid w:val="008C1DA1"/>
    <w:rsid w:val="008D5482"/>
    <w:rsid w:val="008F2EE2"/>
    <w:rsid w:val="008F5B13"/>
    <w:rsid w:val="0090241A"/>
    <w:rsid w:val="00923E7C"/>
    <w:rsid w:val="00950218"/>
    <w:rsid w:val="00993C00"/>
    <w:rsid w:val="009A2AC8"/>
    <w:rsid w:val="009B1E79"/>
    <w:rsid w:val="009F6E85"/>
    <w:rsid w:val="00A44613"/>
    <w:rsid w:val="00A53B28"/>
    <w:rsid w:val="00A7348D"/>
    <w:rsid w:val="00AD51BB"/>
    <w:rsid w:val="00AE489C"/>
    <w:rsid w:val="00AE5425"/>
    <w:rsid w:val="00AE7BE7"/>
    <w:rsid w:val="00AF69ED"/>
    <w:rsid w:val="00B144F4"/>
    <w:rsid w:val="00B15CB8"/>
    <w:rsid w:val="00B474CF"/>
    <w:rsid w:val="00B5021C"/>
    <w:rsid w:val="00B74BCE"/>
    <w:rsid w:val="00BB5493"/>
    <w:rsid w:val="00BE5D0B"/>
    <w:rsid w:val="00BF096C"/>
    <w:rsid w:val="00BF2B28"/>
    <w:rsid w:val="00BF7EE2"/>
    <w:rsid w:val="00C165D1"/>
    <w:rsid w:val="00C16603"/>
    <w:rsid w:val="00C26C6A"/>
    <w:rsid w:val="00C42946"/>
    <w:rsid w:val="00C65829"/>
    <w:rsid w:val="00C6700A"/>
    <w:rsid w:val="00C74194"/>
    <w:rsid w:val="00C76CA3"/>
    <w:rsid w:val="00CA2FB0"/>
    <w:rsid w:val="00CD5369"/>
    <w:rsid w:val="00D53018"/>
    <w:rsid w:val="00D60589"/>
    <w:rsid w:val="00D676CD"/>
    <w:rsid w:val="00D730C4"/>
    <w:rsid w:val="00D90E78"/>
    <w:rsid w:val="00DA2113"/>
    <w:rsid w:val="00DA2548"/>
    <w:rsid w:val="00DA5361"/>
    <w:rsid w:val="00DC297C"/>
    <w:rsid w:val="00DD366E"/>
    <w:rsid w:val="00DF40BD"/>
    <w:rsid w:val="00DF46B2"/>
    <w:rsid w:val="00E01F27"/>
    <w:rsid w:val="00E16BBB"/>
    <w:rsid w:val="00E20381"/>
    <w:rsid w:val="00E20604"/>
    <w:rsid w:val="00E342AA"/>
    <w:rsid w:val="00E40DAA"/>
    <w:rsid w:val="00E41675"/>
    <w:rsid w:val="00E4207B"/>
    <w:rsid w:val="00E72B30"/>
    <w:rsid w:val="00E74B9D"/>
    <w:rsid w:val="00E76827"/>
    <w:rsid w:val="00EA19B5"/>
    <w:rsid w:val="00EA68B1"/>
    <w:rsid w:val="00EB4F20"/>
    <w:rsid w:val="00EE4A52"/>
    <w:rsid w:val="00F00C09"/>
    <w:rsid w:val="00F0251E"/>
    <w:rsid w:val="00F0649B"/>
    <w:rsid w:val="00F12248"/>
    <w:rsid w:val="00F16C83"/>
    <w:rsid w:val="00F20CD7"/>
    <w:rsid w:val="00F413F0"/>
    <w:rsid w:val="00F550E7"/>
    <w:rsid w:val="00F642D0"/>
    <w:rsid w:val="00F74CF4"/>
    <w:rsid w:val="00F86083"/>
    <w:rsid w:val="00F878A0"/>
    <w:rsid w:val="00F9363A"/>
    <w:rsid w:val="00F96D9F"/>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E21DA"/>
    <w:rPr>
      <w:lang w:val="en-GB" w:eastAsia="en-US"/>
    </w:rPr>
  </w:style>
  <w:style w:type="paragraph" w:customStyle="1" w:styleId="NO">
    <w:name w:val="NO"/>
    <w:basedOn w:val="Normal"/>
    <w:link w:val="NOZchn"/>
    <w:qFormat/>
    <w:rsid w:val="00E20381"/>
    <w:pPr>
      <w:keepLines/>
      <w:spacing w:after="180"/>
      <w:ind w:left="1135" w:hanging="851"/>
    </w:pPr>
    <w:rPr>
      <w:rFonts w:eastAsia="SimSun"/>
    </w:rPr>
  </w:style>
  <w:style w:type="character" w:customStyle="1" w:styleId="B1Char">
    <w:name w:val="B1 Char"/>
    <w:link w:val="B1"/>
    <w:qFormat/>
    <w:rsid w:val="00E20381"/>
    <w:rPr>
      <w:rFonts w:ascii="Arial" w:hAnsi="Arial"/>
      <w:lang w:eastAsia="en-US"/>
    </w:rPr>
  </w:style>
  <w:style w:type="character" w:customStyle="1" w:styleId="NOZchn">
    <w:name w:val="NO Zchn"/>
    <w:link w:val="NO"/>
    <w:qFormat/>
    <w:rsid w:val="00E20381"/>
    <w:rPr>
      <w:rFonts w:eastAsia="SimSun"/>
      <w:lang w:eastAsia="en-US"/>
    </w:rPr>
  </w:style>
  <w:style w:type="table" w:styleId="TableGrid">
    <w:name w:val="Table Grid"/>
    <w:basedOn w:val="TableNormal"/>
    <w:uiPriority w:val="59"/>
    <w:rsid w:val="005A0A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E517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E51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Changsha, P.R.China; 15th – 19th April 2024</vt:lpstr>
      <vt:lpstr>Title:	LS on Clarification on Dual Registration Indication</vt:lpstr>
      <vt:lpstr>Response to:	</vt:lpstr>
      <vt:lpstr>Release:	Rel-18</vt:lpstr>
      <vt:lpstr>Work Item:	TEI18, 5GS_Ph1</vt:lpstr>
      <vt:lpstr>Attachments:	</vt:lpstr>
    </vt:vector>
  </TitlesOfParts>
  <Company>ETSI Sophia Antipolis</Company>
  <LinksUpToDate>false</LinksUpToDate>
  <CharactersWithSpaces>4197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2024-04-23T14:00:00Z</dcterms:created>
  <dcterms:modified xsi:type="dcterms:W3CDTF">2024-06-27T13:23:00Z</dcterms:modified>
</cp:coreProperties>
</file>